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/>
        <w:drawing>
          <wp:inline distT="0" distB="0" distL="0" distR="0">
            <wp:extent cx="800100" cy="733425"/>
            <wp:effectExtent l="0" t="0" r="0" b="0"/>
            <wp:docPr id="1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290" t="327" r="82469" b="8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Република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Аутономна покрајина Војводина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Град Суботица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ГРАДОНАЧЕЛНИК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Број:</w:t>
      </w:r>
      <w:r>
        <w:rPr>
          <w:rFonts w:eastAsia="Times New Roman" w:cs="Times New Roman" w:ascii="Times New Roman" w:hAnsi="Times New Roman"/>
          <w:color w:val="000000"/>
          <w:kern w:val="0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993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/2024-1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 xml:space="preserve">Дана: 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0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5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.12.2024</w:t>
      </w: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. године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Суботица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Трг слободе 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Тел: 024/626-891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RS"/>
          <w14:ligatures w14:val="none"/>
        </w:rPr>
      </w:pP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На основу поглавља II Опис планираних мера, тачке 2.5. Друге мере политичке заштите и очувања животне средине, подтачке 2.5.12. Административна процедура,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 w:eastAsia="en-US"/>
          <w14:ligatures w14:val="none"/>
        </w:rPr>
        <w:t>Програма подршке за спровођење пољопривредне политике и политике руралног развоја за Град Суботицу за 2024. годину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 („Службени лист Града Суботице“, бр. 21/24), а по 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 w:eastAsia="en-US"/>
          <w14:ligatures w14:val="none"/>
        </w:rPr>
        <w:t>Решењу о давању претходне сагласности на Предлог Програма подршке за спровођење пољопривредне политике и политике руралног развоја Града Суботице за 2024. годину издато од стране Министарства пољопривреде, шумарства и водопривреде  бр. 001313684 2024 14840 007 000 000 001  од 10. априла 2024. године и на основу члана 52. став 1. тачка 10. Статута Града Суботице („Службени лист Града Суботице“, бр. 27/19-прочишћени текст, 13/21, 16/21 и 8/24)</w:t>
      </w:r>
      <w:r>
        <w:rPr>
          <w:rFonts w:eastAsia="Calibri" w:cs="Times New Roman" w:ascii="Times New Roman" w:hAnsi="Times New Roman"/>
          <w:sz w:val="24"/>
          <w:szCs w:val="24"/>
          <w14:ligatures w14:val="none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 xml:space="preserve"> а у складу са расписаним Јавним позивом 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 xml:space="preserve">трошкова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анализе земљишта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, објављеног дана 0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1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.08.2024. године,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 xml:space="preserve">Градоначелник Града Суботице дана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5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.12.2024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. године доноси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О Д Л У К 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о додели средстава 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 xml:space="preserve">трошкова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анализе земљишта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I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На основу расписаног Јавног позива за </w:t>
      </w:r>
      <w:bookmarkStart w:id="0" w:name="_Hlk137473372"/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 xml:space="preserve">трошкова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анализе земљишта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 (у даљем тексту: Јавни позив)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, од дана 0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  <w14:ligatures w14:val="none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.2024. године,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број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>993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/2024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, додељују се средства у укупном износу од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294.333,20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динара следећим подносиоцима пријаве: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/>
      </w:r>
    </w:p>
    <w:p>
      <w:pPr>
        <w:pStyle w:val="Normal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</w:r>
    </w:p>
    <w:tbl>
      <w:tblPr>
        <w:tblW w:w="688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0"/>
        <w:gridCol w:w="2502"/>
        <w:gridCol w:w="2248"/>
        <w:gridCol w:w="1305"/>
      </w:tblGrid>
      <w:tr>
        <w:trPr>
          <w:trHeight w:val="791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бр.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Одобрен износ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Број узорака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Милош Раднић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Небојша Раднић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16.650,00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Даниел Милер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35.150,00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Жељко Млинков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Марио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Крешимир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Љубица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Стеван Церовац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Јована Вујасеновић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Маријана Вуков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27.750,00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Горан Војнић Пурчар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27.750,00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Острогонац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12.950,00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Сретен Ивковић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13.333,20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Хрвоје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Маринко Кујунџић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Дулић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16.650,00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Јосипа Ђукић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83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Јосип Ђукић</w:t>
            </w:r>
          </w:p>
        </w:tc>
        <w:tc>
          <w:tcPr>
            <w:tcW w:w="2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4.400,00</w:t>
            </w:r>
          </w:p>
        </w:tc>
        <w:tc>
          <w:tcPr>
            <w:tcW w:w="13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>
      <w:pPr>
        <w:pStyle w:val="Normal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</w:r>
    </w:p>
    <w:p>
      <w:pPr>
        <w:pStyle w:val="Normal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II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Ова одлука је коначна.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III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 xml:space="preserve">Ова одлука објављује се на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 xml:space="preserve">интернет страници Града Суботице </w:t>
      </w:r>
      <w:hyperlink r:id="rId3">
        <w:r>
          <w:rPr>
            <w:rStyle w:val="ListLabel1"/>
            <w:rFonts w:eastAsia="Times New Roman" w:cs="Times New Roman" w:ascii="Times New Roman" w:hAnsi="Times New Roman"/>
            <w:bCs/>
            <w:color w:val="0070C0"/>
            <w:kern w:val="0"/>
            <w:sz w:val="24"/>
            <w:szCs w:val="24"/>
            <w:u w:val="single"/>
            <w:lang w:val="sr-Latn-RS" w:eastAsia="zh-CN"/>
            <w14:ligatures w14:val="none"/>
          </w:rPr>
          <w:t>www.subotica.ls.gov.rs</w:t>
        </w:r>
      </w:hyperlink>
      <w:r>
        <w:rPr>
          <w:rFonts w:eastAsia="Times New Roman" w:cs="Times New Roman" w:ascii="Times New Roman" w:hAnsi="Times New Roman"/>
          <w:bCs/>
          <w:color w:val="0070C0"/>
          <w:kern w:val="0"/>
          <w:sz w:val="24"/>
          <w:szCs w:val="24"/>
          <w:u w:val="single"/>
          <w:lang w:val="sr-RS" w:eastAsia="zh-CN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у рубрици „Конкурси и огласи“.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О б р а з л о ж е њ 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 xml:space="preserve">На основу поглавља II Опис планираних мера, тачке 2.5. Друге мере политичке заштите и очувања животне средине, подтачке 2.5.12. Административна процедура, 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en-US"/>
          <w14:ligatures w14:val="none"/>
        </w:rPr>
        <w:t>Програма подршке за спровођење пољопривредне политике и политике руралног развоја за Град Суботицу за 2024. годину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 xml:space="preserve"> („Службени лист Града Суботице“, бр. 21/24), а по  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en-US"/>
          <w14:ligatures w14:val="none"/>
        </w:rPr>
        <w:t>Решењу о давању претходне сагласности на Предлог Програма подршке за спровођење пољопривредне политике и политике руралног развоја Града Суботице за 2024. годину издато од стране Министарства пољопривреде, шумарства и водопривреде  бр. 001313684 2024 14840 007 000 000 001  од 10. априла 2024. године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, расписан је Јавни позив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/>
          <w14:ligatures w14:val="none"/>
        </w:rPr>
        <w:t xml:space="preserve">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 xml:space="preserve">трошкова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анализе земљишта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 од дана 0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  <w14:ligatures w14:val="none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.2024. године,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број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>993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/2024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sr-RS" w:eastAsia="zh-CN"/>
          <w14:ligatures w14:val="none"/>
        </w:rPr>
        <w:t xml:space="preserve">Рок за подношење пријава на Јавни позив је до 30. новембра.  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На Јавни позив је пристигло укупно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2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захтева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 xml:space="preserve">. </w:t>
      </w:r>
      <w:bookmarkStart w:id="1" w:name="_Hlk141429968"/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>Прегледом документације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>константовано је да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>с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>ви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 xml:space="preserve">захтеви испуњавају услове Јавног позива. Укупан износ за исплату је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Latn-RS" w:eastAsia="zh-CN"/>
          <w14:ligatures w14:val="none"/>
        </w:rPr>
        <w:t>294.333,20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динара, а преостали, неутрошен износ је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2.705.666,80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динара.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 xml:space="preserve"> </w:t>
      </w:r>
      <w:bookmarkEnd w:id="1"/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На основу изложеног предложено је доношење одлуке као у диспозитиву.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ГРАДОНАЧЕЛНИК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  <w:tab/>
        <w:t xml:space="preserve">     </w:t>
        <w:tab/>
        <w:tab/>
        <w:tab/>
        <w:tab/>
        <w:tab/>
        <w:t xml:space="preserve">      </w:t>
        <w:tab/>
        <w:tab/>
        <w:tab/>
        <w:tab/>
        <w:tab/>
        <w:t>Стеван Бакић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sr-RS" w:eastAsia="zh-CN"/>
          <w14:ligatures w14:val="none"/>
        </w:rPr>
        <w:t xml:space="preserve"> </w:t>
      </w:r>
    </w:p>
    <w:p>
      <w:pPr>
        <w:pStyle w:val="Normal"/>
        <w:spacing w:before="0" w:after="16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73d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d3c"/>
    <w:rPr>
      <w:color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e59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Msonormal" w:customStyle="1">
    <w:name w:val="msonormal"/>
    <w:basedOn w:val="Normal"/>
    <w:qFormat/>
    <w:rsid w:val="00473d3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3" w:customStyle="1">
    <w:name w:val="xl63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4" w:customStyle="1">
    <w:name w:val="xl64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5" w:customStyle="1">
    <w:name w:val="xl65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6" w:customStyle="1">
    <w:name w:val="xl66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7" w:customStyle="1">
    <w:name w:val="xl67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ubotica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ABB3-33B7-4312-94EB-8611148A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LibreOffice/24.2.3.2$Windows_X86_64 LibreOffice_project/433d9c2ded56988e8a90e6b2e771ee4e6a5ab2ba</Application>
  <AppVersion>15.0000</AppVersion>
  <Pages>3</Pages>
  <Words>503</Words>
  <Characters>2851</Characters>
  <CharactersWithSpaces>3318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2023-12-06T08:51:00Z</dcterms:created>
  <dc:creator>Ivana Davčik</dc:creator>
  <dc:description/>
  <dc:language>sr-RS</dc:language>
  <cp:lastModifiedBy/>
  <cp:lastPrinted>2024-12-04T11:38:58Z</cp:lastPrinted>
  <dcterms:modified xsi:type="dcterms:W3CDTF">2024-12-04T11:39:06Z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